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水土保持方案AI辅助编审云平台</w:t>
      </w:r>
      <w:r>
        <w:rPr>
          <w:rFonts w:eastAsia="等线" w:ascii="Arial" w:cs="Arial" w:hAnsi="Arial"/>
          <w:b w:val="true"/>
          <w:sz w:val="52"/>
        </w:rPr>
        <w:t>操作手册</w:t>
      </w:r>
    </w:p>
    <w:p>
      <w:pPr>
        <w:pStyle w:val="1"/>
        <w:spacing w:before="380" w:after="140" w:line="288" w:lineRule="auto"/>
        <w:ind w:left="0"/>
        <w:jc w:val="center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  <w:shd w:fill="bacefd"/>
        </w:rPr>
        <w:t>水土保持方案</w:t>
      </w:r>
      <w:r>
        <w:rPr>
          <w:rFonts w:eastAsia="等线" w:ascii="Arial" w:cs="Arial" w:hAnsi="Arial"/>
          <w:b w:val="true"/>
          <w:sz w:val="36"/>
          <w:shd w:fill="bacefd"/>
        </w:rPr>
        <w:t>AI</w:t>
      </w:r>
      <w:r>
        <w:rPr>
          <w:rFonts w:eastAsia="等线" w:ascii="Arial" w:cs="Arial" w:hAnsi="Arial"/>
          <w:b w:val="true"/>
          <w:sz w:val="36"/>
          <w:shd w:fill="bacefd"/>
        </w:rPr>
        <w:t>辅助</w:t>
      </w:r>
      <w:r>
        <w:rPr>
          <w:rFonts w:eastAsia="等线" w:ascii="Arial" w:cs="Arial" w:hAnsi="Arial"/>
          <w:b w:val="true"/>
          <w:sz w:val="36"/>
          <w:shd w:fill="bacefd"/>
        </w:rPr>
        <w:t>编审云平台</w:t>
      </w:r>
      <w:r>
        <w:rPr>
          <w:rFonts w:eastAsia="等线" w:ascii="Arial" w:cs="Arial" w:hAnsi="Arial"/>
          <w:b w:val="true"/>
          <w:sz w:val="36"/>
          <w:shd w:fill="bacefd"/>
        </w:rPr>
        <w:t>操作手册</w:t>
      </w:r>
      <w:bookmarkEnd w:id="0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一、</w:t>
      </w:r>
      <w:r>
        <w:rPr>
          <w:rFonts w:eastAsia="等线" w:ascii="Arial" w:cs="Arial" w:hAnsi="Arial"/>
          <w:b w:val="true"/>
          <w:sz w:val="36"/>
        </w:rPr>
        <w:t>新用户注册与</w:t>
      </w:r>
      <w:r>
        <w:rPr>
          <w:rFonts w:eastAsia="等线" w:ascii="Arial" w:cs="Arial" w:hAnsi="Arial"/>
          <w:b w:val="true"/>
          <w:sz w:val="36"/>
        </w:rPr>
        <w:t>企业协作</w:t>
      </w:r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（一）新用户注册与企业关联</w:t>
      </w:r>
      <w:bookmarkEnd w:id="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个人版账号注册与登录</w:t>
      </w:r>
      <w:bookmarkEnd w:id="3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用户先注册个人版账号，此时该账号默认无企业关联权限</w:t>
      </w:r>
      <w:r>
        <w:rPr>
          <w:rFonts w:eastAsia="等线" w:ascii="Arial" w:cs="Arial" w:hAnsi="Arial"/>
          <w:sz w:val="22"/>
        </w:rPr>
        <w:t>；试用期间关注“智慧水保”公众号，私信申请邀请码。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</w:t>
      </w:r>
      <w:r>
        <w:rPr>
          <w:rFonts w:eastAsia="等线" w:ascii="Arial" w:cs="Arial" w:hAnsi="Arial"/>
          <w:sz w:val="22"/>
        </w:rPr>
        <w:t>a.个人版账号认证</w:t>
      </w:r>
      <w:r>
        <w:rPr>
          <w:rFonts w:eastAsia="等线" w:ascii="Arial" w:cs="Arial" w:hAnsi="Arial"/>
          <w:sz w:val="22"/>
        </w:rPr>
        <w:t>界面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登录方式1：注册成功后，在智能编审登录界面，先输入手机号码、密码和验证码，然后点击“登录”按钮即可登录；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登录方式2：也可选择短信验证码登录，若未注册则先点击“立即注册”完成注册后再登录。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b.手机号-密码登录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c.手机号-短信验证码登录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企业认证（创建并关联自有企业）</w:t>
      </w:r>
      <w:bookmarkEnd w:id="4"/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找到页面右上角的个人头像图标，点击它。在弹出的下拉菜单中，点击「企业认证」 选项，即可进入企业认证流程。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个人版用户发起企业认证申请，在 「企业名称」 输入框中，准确填写企业的全称。然后填写企业对应的统一社会信用代码。再上传营业执照，也可上传组织机构代码证、统一社会信用代码证、事业单位法人证书等有效证件）。勾选 “我已阅读并同意《用户协议》和《隐私政策》” 复选框。最后点击 “提交” 按钮，完成企业认证申请的提交。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a.企业认证操作流程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</w:t>
      </w:r>
      <w:r>
        <w:rPr>
          <w:rFonts w:eastAsia="等线" w:ascii="Arial" w:cs="Arial" w:hAnsi="Arial"/>
          <w:sz w:val="22"/>
        </w:rPr>
        <w:t>b.右上角个人版账号下拉界面进行企业</w:t>
      </w:r>
      <w:r>
        <w:rPr>
          <w:rFonts w:eastAsia="等线" w:ascii="Arial" w:cs="Arial" w:hAnsi="Arial"/>
          <w:sz w:val="22"/>
        </w:rPr>
        <w:t>认证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要查看企业认证申请状态，操作流程如下：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     点击未读消息</w:t>
      </w:r>
      <w:r>
        <w:rPr>
          <w:rFonts w:eastAsia="等线" w:ascii="Arial" w:cs="Arial" w:hAnsi="Arial"/>
          <w:sz w:val="22"/>
        </w:rPr>
        <w:t>：找到页面左侧的“未读消息”区域，点击进入。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     查看认证状态</w:t>
      </w:r>
      <w:r>
        <w:rPr>
          <w:rFonts w:eastAsia="等线" w:ascii="Arial" w:cs="Arial" w:hAnsi="Arial"/>
          <w:sz w:val="22"/>
        </w:rPr>
        <w:t>：在弹出的“消息管理”窗口中，查看企业认证申请的当前状态（如示例中“审核中”）。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c.认证状态提示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d.右上角个人版账号下拉界面进行个人账号和企业选择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528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加入其他企业</w:t>
      </w:r>
      <w:bookmarkEnd w:id="5"/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如果要加入其他企业，通过首页右上角的「加入企业」，填写邀请码加入其他企业。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a</w:t>
      </w:r>
      <w:r>
        <w:rPr>
          <w:rFonts w:eastAsia="等线" w:ascii="Arial" w:cs="Arial" w:hAnsi="Arial"/>
          <w:sz w:val="22"/>
        </w:rPr>
        <w:t>.在个人版账号下通过企业邀请码加入企业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切换到企业端，点击「团队管理」按钮进入页面，生成的邀请码可以用来邀请团队成员加入，在首页的「加入企业」填写邀请码。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b.企业端生成邀请码方式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623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color w:val="3370ff"/>
          <w:sz w:val="30"/>
        </w:rPr>
        <w:t xml:space="preserve">4. </w:t>
      </w:r>
      <w:r>
        <w:rPr>
          <w:rFonts w:eastAsia="等线" w:ascii="Arial" w:cs="Arial" w:hAnsi="Arial"/>
          <w:b w:val="true"/>
          <w:sz w:val="30"/>
        </w:rPr>
        <w:t>消息管理</w:t>
      </w:r>
      <w:bookmarkEnd w:id="6"/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点击左侧「未读消息」 提示，弹出消息管理窗口查看未读内容；处理后可切换 「已读」 标签页，最后点击右上角「×」关闭窗口。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e.消息管理操作界面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812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color w:val="3370ff"/>
          <w:sz w:val="30"/>
        </w:rPr>
        <w:t xml:space="preserve">5. </w:t>
      </w:r>
      <w:r>
        <w:rPr>
          <w:rFonts w:eastAsia="等线" w:ascii="Arial" w:cs="Arial" w:hAnsi="Arial"/>
          <w:b w:val="true"/>
          <w:sz w:val="30"/>
        </w:rPr>
        <w:t>意见反馈</w:t>
      </w:r>
      <w:bookmarkEnd w:id="7"/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智能编审系统中，点击右上角「意见反馈」按钮；在弹出的意见反馈窗口中，选择反馈类型（功能问题、界面问题、内容错误、其他问题），填写反馈内容；勾选「我同意系统收集并处理我的反馈信息，以改进服务质量」，最后点击「提交反馈」即可。若放弃反馈，可点击「取消」关闭窗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a.意见反馈操作界面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526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color w:val="3370ff"/>
          <w:sz w:val="30"/>
        </w:rPr>
        <w:t xml:space="preserve">6. </w:t>
      </w:r>
      <w:r>
        <w:rPr>
          <w:rFonts w:eastAsia="等线" w:ascii="Arial" w:cs="Arial" w:hAnsi="Arial"/>
          <w:b w:val="true"/>
          <w:sz w:val="30"/>
          <w:shd w:fill="fff67a"/>
        </w:rPr>
        <w:t>在线客服</w:t>
      </w:r>
      <w:bookmarkEnd w:id="8"/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并点击平台右上角的“在线客服”按钮。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在弹出的“在线客服”对话框中，于底部输入框内输入您在系统使用中遇到的问题，也可拖拽或粘贴相关图片（不超过10M）。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发送问题后，等待客服在工作时间（</w:t>
      </w:r>
      <w:r>
        <w:rPr>
          <w:rFonts w:eastAsia="等线" w:ascii="Arial" w:cs="Arial" w:hAnsi="Arial"/>
          <w:sz w:val="22"/>
        </w:rPr>
        <w:t>9</w:t>
      </w:r>
      <w:r>
        <w:rPr>
          <w:rFonts w:eastAsia="等线" w:ascii="Arial" w:cs="Arial" w:hAnsi="Arial"/>
          <w:sz w:val="22"/>
        </w:rPr>
        <w:t>:30~18:00）内为您解答即可。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a.在线客服操作页面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（二）企业端管理</w:t>
      </w:r>
      <w:bookmarkEnd w:id="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团队管理与成员邀请</w:t>
      </w:r>
      <w:bookmarkEnd w:id="10"/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先确认账号已切换至</w:t>
      </w:r>
      <w:r>
        <w:rPr>
          <w:rFonts w:eastAsia="等线" w:ascii="Arial" w:cs="Arial" w:hAnsi="Arial"/>
          <w:color w:val="d83931"/>
          <w:sz w:val="22"/>
        </w:rPr>
        <w:t>认证</w:t>
      </w:r>
      <w:r>
        <w:rPr>
          <w:rFonts w:eastAsia="等线" w:ascii="Arial" w:cs="Arial" w:hAnsi="Arial"/>
          <w:sz w:val="22"/>
        </w:rPr>
        <w:t>企业（左上角显示企业名称），再点击界面右侧「团队管理」模块，进入后即可管理企业人员及角色分配。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</w:t>
      </w:r>
      <w:r>
        <w:rPr>
          <w:rFonts w:eastAsia="等线" w:ascii="Arial" w:cs="Arial" w:hAnsi="Arial"/>
          <w:sz w:val="22"/>
        </w:rPr>
        <w:t>a.团队管理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点击「团队管理」按钮进入页面，生成的邀请码可以用来邀请团队成员加入，在首页的「加入企业」填写邀请码。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</w:t>
      </w:r>
      <w:r>
        <w:rPr>
          <w:rFonts w:eastAsia="等线" w:ascii="Arial" w:cs="Arial" w:hAnsi="Arial"/>
          <w:sz w:val="22"/>
        </w:rPr>
        <w:t>b.生成邀请码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623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团队管理界面，点击右上角「申请加入名单」按钮可审核员工申请；找到人员列表中需操作的用户，点击其对应的「分配角色」按钮，在弹出的「分配角色」窗口中选择「企业管理员」或「普通成员」（企业管理员具有企业管理权限，普通成员无此权限），点击「确定」完成角色分配（放弃则点「取消」）；点击用户对应的「删除」按钮可移除团队成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</w:t>
      </w:r>
      <w:r>
        <w:rPr>
          <w:rFonts w:eastAsia="等线" w:ascii="Arial" w:cs="Arial" w:hAnsi="Arial"/>
          <w:sz w:val="22"/>
        </w:rPr>
        <w:t>c.管理企业人员及角色分配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242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企业端上传的水保方案要完成「邀请成员」 操作，流程如下：找到目标项目卡片，点击其右下角的「・・・」按钮 。在弹出的选项中，点击 「邀请成员」即可发起成员邀请操作。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d.企业端邀请成员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812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1" w:id="11"/>
      <w:r>
        <w:rPr>
          <w:rFonts w:eastAsia="等线" w:ascii="Arial" w:cs="Arial" w:hAnsi="Arial"/>
          <w:b w:val="true"/>
          <w:sz w:val="36"/>
        </w:rPr>
        <w:t>二、</w:t>
      </w:r>
      <w:r>
        <w:rPr>
          <w:rFonts w:eastAsia="等线" w:ascii="Arial" w:cs="Arial" w:hAnsi="Arial"/>
          <w:b w:val="true"/>
          <w:sz w:val="36"/>
        </w:rPr>
        <w:t>方案报告审查</w:t>
      </w:r>
      <w:bookmarkEnd w:id="1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b w:val="true"/>
          <w:sz w:val="32"/>
        </w:rPr>
        <w:t>（一）审核方案上传</w:t>
      </w:r>
      <w:bookmarkEnd w:id="12"/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个人端和企业端的操作一致；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进入个人端系统主界面后，点击右上角「导入方案」按钮；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弹出的「创建审查项目」窗口中，选择报告类型；点击下一步选择地区与行业，继续点击下一步，点击或拖拽需审查的水保方案文件（支持PDF、Doc、Docx格式）至上传区域，确认信息无误后，点击提交，完成上传，系统自动启动智能审查流程。</w:t>
      </w:r>
      <w:r>
        <w:rPr>
          <w:rFonts w:eastAsia="等线" w:ascii="Arial" w:cs="Arial" w:hAnsi="Arial"/>
          <w:b w:val="true"/>
          <w:color w:val="d83931"/>
          <w:sz w:val="22"/>
        </w:rPr>
        <w:t>（暂不支持上传扫描件的pdf，请勿上传与水保方案无关的文件）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</w:t>
      </w:r>
      <w:r>
        <w:rPr>
          <w:rFonts w:eastAsia="等线" w:ascii="Arial" w:cs="Arial" w:hAnsi="Arial"/>
          <w:sz w:val="22"/>
        </w:rPr>
        <w:t>a.导入方案演示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（二）审查结果查看</w:t>
      </w:r>
      <w:bookmarkEnd w:id="13"/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方案上传后，系统自动开展智能审查。在主界面项目中，可查看项目的「校验进度」（黄框的进度条）、「审查状态」（红框的审查进度）等信息。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a.进度查看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8125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点击方案名称直接进入文件预览界面，右侧面板展示审查问题，左侧为文件预览区，可同步查看问题对应文档内容。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b.问题预览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该水土保持方案报告书的智能审查界面，点击右侧“智能审查汇总”区域的“树状”图标，即可查看完整的审查要点正确与错误数量分类（如项目概况、水土保持评价、防治责任范围与防治目标等板块的具体审查项），以便开展后续审查工作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c.智能审查问题模式切换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8125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在该水土保持方案报告表的智能审查界面，找到右侧“智能审查汇总”区域的“导出问题清单”功能模块，点击相应按钮即可导出问题清单。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c.导出问题清单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8125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（三）</w:t>
      </w:r>
      <w:r>
        <w:rPr>
          <w:rFonts w:eastAsia="等线" w:ascii="Arial" w:cs="Arial" w:hAnsi="Arial"/>
          <w:b w:val="true"/>
          <w:sz w:val="32"/>
        </w:rPr>
        <w:t>问题定位</w:t>
      </w:r>
      <w:bookmarkEnd w:id="14"/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点击问题描述中蓝色标注的页码，左侧文档定位到问题对应位置（部分问题可高亮</w:t>
      </w:r>
      <w:r>
        <w:rPr>
          <w:rFonts w:eastAsia="等线" w:ascii="Arial" w:cs="Arial" w:hAnsi="Arial"/>
          <w:sz w:val="22"/>
        </w:rPr>
        <w:t>显示</w:t>
      </w:r>
      <w:r>
        <w:rPr>
          <w:rFonts w:eastAsia="等线" w:ascii="Arial" w:cs="Arial" w:hAnsi="Arial"/>
          <w:sz w:val="22"/>
        </w:rPr>
        <w:t>）。</w:t>
      </w:r>
      <w:r>
        <w:rPr>
          <w:rFonts w:eastAsia="等线" w:ascii="Arial" w:cs="Arial" w:hAnsi="Arial"/>
          <w:sz w:val="22"/>
        </w:rPr>
        <w:t>（</w:t>
      </w:r>
      <w:r>
        <w:rPr>
          <w:rFonts w:eastAsia="等线" w:ascii="Arial" w:cs="Arial" w:hAnsi="Arial"/>
          <w:sz w:val="22"/>
          <w:shd w:fill="fff67a"/>
        </w:rPr>
        <w:t xml:space="preserve"> </w:t>
      </w:r>
      <w:r>
        <w:rPr>
          <w:rFonts w:eastAsia="等线" w:ascii="Arial" w:cs="Arial" w:hAnsi="Arial"/>
          <w:sz w:val="22"/>
          <w:shd w:fill="fff67a"/>
        </w:rPr>
        <w:t>注：</w:t>
      </w:r>
      <w:r>
        <w:rPr>
          <w:rFonts w:eastAsia="等线" w:ascii="Arial" w:cs="Arial" w:hAnsi="Arial"/>
          <w:sz w:val="22"/>
        </w:rPr>
        <w:t>问题后面显示的页码为Pdf查看的页码，把封面、责任页、修改一览表也算在</w:t>
      </w:r>
      <w:r>
        <w:rPr>
          <w:rFonts w:eastAsia="等线" w:ascii="Arial" w:cs="Arial" w:hAnsi="Arial"/>
          <w:sz w:val="22"/>
        </w:rPr>
        <w:t>页码</w:t>
      </w:r>
      <w:r>
        <w:rPr>
          <w:rFonts w:eastAsia="等线" w:ascii="Arial" w:cs="Arial" w:hAnsi="Arial"/>
          <w:sz w:val="22"/>
        </w:rPr>
        <w:t>里。</w:t>
      </w:r>
      <w:r>
        <w:rPr>
          <w:rFonts w:eastAsia="等线" w:ascii="Arial" w:cs="Arial" w:hAnsi="Arial"/>
          <w:sz w:val="22"/>
        </w:rPr>
        <w:t>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a.智能审查错误汇总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若出现定位不准时，可使用划词快速定位。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划词快速定位：在问题描述中，划选原文数据关键词，系统自动搜索方案中所有数据，可在左上角进行“上一个”“下一个”处理。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b.划词定位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526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（四）</w:t>
      </w:r>
      <w:r>
        <w:rPr>
          <w:rFonts w:eastAsia="等线" w:ascii="Arial" w:cs="Arial" w:hAnsi="Arial"/>
          <w:b w:val="true"/>
          <w:sz w:val="32"/>
        </w:rPr>
        <w:t>问题忽略</w:t>
      </w:r>
      <w:bookmarkEnd w:id="15"/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在右侧审查问题列表中，若存在无需关注或模型错误的问题，找到对应条目后，点击 「忽略」按钮，该问题会被标记为 “已忽略”，在上方采纳情况筛选栏中选取已采纳、待审查，该问题不再干扰后续审查。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a.问题忽略操作演示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（五）</w:t>
      </w:r>
      <w:r>
        <w:rPr>
          <w:rFonts w:eastAsia="等线" w:ascii="Arial" w:cs="Arial" w:hAnsi="Arial"/>
          <w:b w:val="true"/>
          <w:sz w:val="32"/>
        </w:rPr>
        <w:t>搜索功能</w:t>
      </w:r>
      <w:bookmarkEnd w:id="16"/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在系统顶部搜索栏，输入</w:t>
      </w:r>
      <w:r>
        <w:rPr>
          <w:rFonts w:eastAsia="等线" w:ascii="Arial" w:cs="Arial" w:hAnsi="Arial"/>
          <w:sz w:val="22"/>
        </w:rPr>
        <w:t>数字</w:t>
      </w:r>
      <w:r>
        <w:rPr>
          <w:rFonts w:eastAsia="等线" w:ascii="Arial" w:cs="Arial" w:hAnsi="Arial"/>
          <w:sz w:val="22"/>
        </w:rPr>
        <w:t>，点击「搜索」按钮，可快速筛选匹配的项目或审查问题，提升查找效率。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a.搜索功能操作演示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7172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在右侧面板搜索框中，输入审查问题关键词，可筛选相关问题。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b.关键词筛选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（六）</w:t>
      </w:r>
      <w:r>
        <w:rPr>
          <w:rFonts w:eastAsia="等线" w:ascii="Arial" w:cs="Arial" w:hAnsi="Arial"/>
          <w:b w:val="true"/>
          <w:sz w:val="32"/>
        </w:rPr>
        <w:t>双屏</w:t>
      </w:r>
      <w:r>
        <w:rPr>
          <w:rFonts w:eastAsia="等线" w:ascii="Arial" w:cs="Arial" w:hAnsi="Arial"/>
          <w:b w:val="true"/>
          <w:sz w:val="32"/>
        </w:rPr>
        <w:t>模式</w:t>
      </w:r>
      <w:bookmarkEnd w:id="17"/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系统支持双屏查看，便于文档与问题对照。在文件预览界面，点击界面上方「双屏」切换按钮，界面将分为左右区域，选中框蓝色高亮，点击页数可进行跳转，实现内容与问题同步对照。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a.双屏模式操作演示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0030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三、方案编制（开发中）与导入优化</w:t>
      </w:r>
      <w:bookmarkEnd w:id="18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（一）编制方案上传</w:t>
      </w:r>
      <w:bookmarkEnd w:id="19"/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系统主界面后，点击右上角「方案编制/导入优化」按钮；在弹出的「创建编制项目」窗口中，选择报告类型（如选择「方案报告书」，适用于大型项目的详细方案），点击下一步；进入「地区与行业」步骤，选择对应项目地区和行业后，点击下一步；进入「编制类型」步骤（按界面提示完成选择），点击下一步；进入「文件上传」步骤，点击或拖拽需编制的水保方案文件（仅支持Word格式）至上传区域，确认信息无误后，点击提交，完成上传，系统自动启动相关流程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3842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（二）导入优化</w:t>
      </w:r>
      <w:bookmarkEnd w:id="2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目录导航与内容定位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左侧目录树操作：通过“1.综合说明→1.1项目简况→1.1.1项目基本情况”等节点，快速定位需编辑或查看的模块，点击节点即可在右侧编辑区加载对应内容。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a.目录导航定位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内容编制与格式设置</w:t>
      </w:r>
      <w:bookmarkEnd w:id="22"/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编辑区操作：在右侧“编制内容模块”内直接输入或修改文本，支持宋体、五号等字体格式设置，以及加粗、斜体、对齐方式等排版操作。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在文档编辑区域选中需优化的文本（如项目概况描述），点击页面右下角的小水滴，系统会弹出</w:t>
      </w:r>
      <w:r>
        <w:rPr>
          <w:rFonts w:eastAsia="等线" w:ascii="Arial" w:cs="Arial" w:hAnsi="Arial"/>
          <w:b w:val="true"/>
          <w:sz w:val="22"/>
        </w:rPr>
        <w:t>智能优化建议框</w:t>
      </w:r>
      <w:r>
        <w:rPr>
          <w:rFonts w:eastAsia="等线" w:ascii="Arial" w:cs="Arial" w:hAnsi="Arial"/>
          <w:sz w:val="22"/>
        </w:rPr>
        <w:t>，包含智能对话、扩写缩写和智能润色功能。润色完成后，点击 “替换” 可一键将表述优化为更专业、规范的版本（如将冗长描述精简为包含核心建设内容的精准表述）；点击 “插入” 可补充行业标准表述或关键信息。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边编边审：实现效率效能双提升</w:t>
      </w:r>
      <w:bookmarkEnd w:id="23"/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在水土保持方案编制系统界面中，点击最左侧的“审查问题”，然后点击右上角“审查方案”按钮，弹出 “全文审查” 和 “章节审查” 功能选项。其中，“全文审查” 可对文档进行全域智能扫描，覆盖形式合规性、业务逻辑合理性等多维度校验；“章节审查” 则支持精准选择特定章节，按需定制审查类型，实现局部精准审查，助力方案编制过程中高效把控质量。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4795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b w:val="true"/>
          <w:sz w:val="30"/>
        </w:rPr>
        <w:t>（1）全文审查流程</w:t>
      </w:r>
      <w:bookmarkEnd w:id="24"/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触发审查：点击文档编辑界面右上角“审查方案”模块的“全文审查”。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类型选择：在弹窗中勾选形式审查（错别字、单位规范、语句通顺等）、业务逻辑校验（逻辑合理性）、图片校验（图片关联性）等类型。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启动校验：点击“开始校验”，系统全域扫描定位问题。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50532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（2）章节审查流程</w:t>
      </w:r>
      <w:bookmarkEnd w:id="25"/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精准选节：在“章节审查”窗口，通过左侧章节树或关键词筛选目标章节。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类型定制：在右侧勾选形式审查、业务逻辑校验、图片校验等维度。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启动校验：点击“开始校验”，系统仅对所选章节智能审查错误。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0997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（3）审查错误显示</w:t>
      </w:r>
      <w:bookmarkEnd w:id="26"/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校验完成后，右侧即呈现审查错误及整改依据，协助您高效完成方案编制。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62225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color w:val="3370ff"/>
          <w:sz w:val="30"/>
        </w:rPr>
        <w:t xml:space="preserve">4. </w:t>
      </w:r>
      <w:r>
        <w:rPr>
          <w:rFonts w:eastAsia="等线" w:ascii="Arial" w:cs="Arial" w:hAnsi="Arial"/>
          <w:b w:val="true"/>
          <w:sz w:val="30"/>
        </w:rPr>
        <w:t>AI工具与辅助功能应用</w:t>
      </w:r>
      <w:bookmarkEnd w:id="27"/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AI助手（右侧工具栏）：点击“AI助手”，可调用人工智能能力辅助生成专业内容（如项目建设必要性、水土流失分析等），输入需求指令即可快速获取行业适配的文本建议，提升编制效率。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常用工具：设置计算工具（</w:t>
      </w:r>
      <w:r>
        <w:rPr>
          <w:rFonts w:eastAsia="等线" w:ascii="Arial" w:cs="Arial" w:hAnsi="Arial"/>
          <w:sz w:val="22"/>
          <w:shd w:fill="fff67a"/>
        </w:rPr>
        <w:t>水土流失量计算</w:t>
      </w:r>
      <w:r>
        <w:rPr>
          <w:rFonts w:eastAsia="等线" w:ascii="Arial" w:cs="Arial" w:hAnsi="Arial"/>
          <w:sz w:val="22"/>
        </w:rPr>
        <w:t>、土石方平衡计算、投资估算计算、林草覆盖率计算）；方案工具（</w:t>
      </w:r>
      <w:r>
        <w:rPr>
          <w:rFonts w:eastAsia="等线" w:ascii="Arial" w:cs="Arial" w:hAnsi="Arial"/>
          <w:sz w:val="22"/>
          <w:shd w:fill="fff67a"/>
        </w:rPr>
        <w:t>措施配置建议</w:t>
      </w:r>
      <w:r>
        <w:rPr>
          <w:rFonts w:eastAsia="等线" w:ascii="Arial" w:cs="Arial" w:hAnsi="Arial"/>
          <w:sz w:val="22"/>
        </w:rPr>
        <w:t>、监测点布设方案、弃渣场选址分析、防治效果评估）来辅助计算，标灰的工具还在开发中，敬请期待。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方案资料：点击“方案资料”，可调取水土保持行业模板、规范条文、典型案例等资源，直接引用或参考，确保方案合规性与专业性。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审查问题：点击“审查问题”，系统自动对标《生产建设项目水土保持技术标准》等规范，识别文本中合规性、逻辑性问题，生成审查意见，辅助方案优化，实现边编边审高效编写报告。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05075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color w:val="3370ff"/>
          <w:sz w:val="30"/>
        </w:rPr>
        <w:t xml:space="preserve">5. </w:t>
      </w:r>
      <w:r>
        <w:rPr>
          <w:rFonts w:eastAsia="等线" w:ascii="Arial" w:cs="Arial" w:hAnsi="Arial"/>
          <w:b w:val="true"/>
          <w:sz w:val="30"/>
        </w:rPr>
        <w:t>版本管理与成果输出</w:t>
      </w:r>
      <w:bookmarkEnd w:id="28"/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历史版本与保存：点击“保存”实时留存编辑内容，点击另存为保存备份，然后即可通过“历史版本”可回溯不同时间点的方案版本，便于版本对比与修改溯源。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下载与导出：点击“下载”，可将方案以PDF、Word等格式导出，满足报批、存档等场景的文件交付需求。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6220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9" w:id="29"/>
      <w:r>
        <w:rPr>
          <w:rFonts w:eastAsia="等线" w:ascii="Arial" w:cs="Arial" w:hAnsi="Arial"/>
          <w:b w:val="true"/>
          <w:sz w:val="36"/>
        </w:rPr>
        <w:t>四、常见问题及解决方法</w:t>
      </w:r>
      <w:bookmarkEnd w:id="29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0" w:id="30"/>
      <w:r>
        <w:rPr>
          <w:rFonts w:eastAsia="等线" w:ascii="Arial" w:cs="Arial" w:hAnsi="Arial"/>
          <w:b w:val="true"/>
          <w:sz w:val="32"/>
        </w:rPr>
        <w:t>（一）</w:t>
      </w:r>
      <w:r>
        <w:rPr>
          <w:rFonts w:eastAsia="等线" w:ascii="Arial" w:cs="Arial" w:hAnsi="Arial"/>
          <w:b w:val="true"/>
          <w:sz w:val="32"/>
        </w:rPr>
        <w:t>页码错乱</w:t>
      </w:r>
      <w:bookmarkEnd w:id="30"/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现象：问题描述不在跳转的页码位置。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</w:t>
      </w:r>
      <w:r>
        <w:rPr>
          <w:rFonts w:eastAsia="等线" w:ascii="Arial" w:cs="Arial" w:hAnsi="Arial"/>
          <w:sz w:val="22"/>
        </w:rPr>
        <w:t>（1）检查上传的PDF或Word文件本身是否存在页码编辑错误；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</w:t>
      </w:r>
      <w:r>
        <w:rPr>
          <w:rFonts w:eastAsia="等线" w:ascii="Arial" w:cs="Arial" w:hAnsi="Arial"/>
          <w:sz w:val="22"/>
        </w:rPr>
        <w:t>（2）有些页上传的是图片，下面没有页码，导致页码不准，可反馈处理。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1" w:id="31"/>
      <w:r>
        <w:rPr>
          <w:rFonts w:eastAsia="等线" w:ascii="Arial" w:cs="Arial" w:hAnsi="Arial"/>
          <w:b w:val="true"/>
          <w:sz w:val="32"/>
        </w:rPr>
        <w:t>（二）</w:t>
      </w:r>
      <w:r>
        <w:rPr>
          <w:rFonts w:eastAsia="等线" w:ascii="Arial" w:cs="Arial" w:hAnsi="Arial"/>
          <w:b w:val="true"/>
          <w:sz w:val="32"/>
        </w:rPr>
        <w:t>问题重复出现</w:t>
      </w:r>
      <w:bookmarkEnd w:id="31"/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现象：部分问题可能会在不同事项下重复出现；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解决：利用「忽略」功能，将重复问题标记为忽略，避免重复干扰。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b w:val="true"/>
          <w:sz w:val="32"/>
        </w:rPr>
        <w:t>（三）</w:t>
      </w:r>
      <w:r>
        <w:rPr>
          <w:rFonts w:eastAsia="等线" w:ascii="Arial" w:cs="Arial" w:hAnsi="Arial"/>
          <w:b w:val="true"/>
          <w:sz w:val="32"/>
        </w:rPr>
        <w:t>幻觉问题（系统误判）</w:t>
      </w:r>
      <w:bookmarkEnd w:id="32"/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现象：偶尔出现系统标注的问题在文档中实际不存在，或正常表述被误判为问题。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解决：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</w:t>
      </w:r>
      <w:r>
        <w:rPr>
          <w:rFonts w:eastAsia="等线" w:ascii="Arial" w:cs="Arial" w:hAnsi="Arial"/>
          <w:sz w:val="22"/>
        </w:rPr>
        <w:t>（1）利用「忽略」功能，将误判问题标记为忽略，避免重复干扰；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</w:t>
      </w:r>
      <w:r>
        <w:rPr>
          <w:rFonts w:eastAsia="等线" w:ascii="Arial" w:cs="Arial" w:hAnsi="Arial"/>
          <w:sz w:val="22"/>
        </w:rPr>
        <w:t>（2）若大量出现误判，收集典型案例反馈，优化智能审查算法。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3" w:id="33"/>
      <w:r>
        <w:rPr>
          <w:rFonts w:eastAsia="等线" w:ascii="Arial" w:cs="Arial" w:hAnsi="Arial"/>
          <w:b w:val="true"/>
          <w:sz w:val="32"/>
          <w:shd w:fill="fff67a"/>
        </w:rPr>
        <w:t>（四）建议上传doc、docx格式，精度会更准确</w:t>
      </w:r>
      <w:r>
        <w:rPr>
          <w:rFonts w:eastAsia="等线" w:ascii="Arial" w:cs="Arial" w:hAnsi="Arial"/>
          <w:b w:val="true"/>
          <w:sz w:val="32"/>
          <w:shd w:fill="fff67a"/>
        </w:rPr>
        <w:t>,不支持pdf扫描版</w:t>
      </w:r>
      <w:bookmarkEnd w:id="33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4" w:id="34"/>
      <w:r>
        <w:rPr>
          <w:rFonts w:eastAsia="等线" w:ascii="Arial" w:cs="Arial" w:hAnsi="Arial"/>
          <w:b w:val="true"/>
          <w:sz w:val="32"/>
        </w:rPr>
        <w:t>（五）试用期间水土保持方案校审算力消耗标准</w:t>
      </w:r>
      <w:bookmarkEnd w:id="34"/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算力消耗判定依据：水土保持方案校审的算力消耗，</w:t>
      </w:r>
      <w:r>
        <w:rPr>
          <w:rFonts w:eastAsia="等线" w:ascii="Arial" w:cs="Arial" w:hAnsi="Arial"/>
          <w:b w:val="true"/>
          <w:sz w:val="22"/>
        </w:rPr>
        <w:t>不与方案字数直接挂钩</w:t>
      </w:r>
      <w:r>
        <w:rPr>
          <w:rFonts w:eastAsia="等线" w:ascii="Arial" w:cs="Arial" w:hAnsi="Arial"/>
          <w:sz w:val="22"/>
        </w:rPr>
        <w:t>，核心判定依据为方案文件整体大小、内嵌图片数量及单张图片大小。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算力消耗范围：常规水土保持方案校审，单次算力消耗区间为 </w:t>
      </w:r>
      <w:r>
        <w:rPr>
          <w:rFonts w:eastAsia="等线" w:ascii="Arial" w:cs="Arial" w:hAnsi="Arial"/>
          <w:b w:val="true"/>
          <w:sz w:val="22"/>
        </w:rPr>
        <w:t>100-500万 token</w:t>
      </w:r>
      <w:r>
        <w:rPr>
          <w:rFonts w:eastAsia="等线" w:ascii="Arial" w:cs="Arial" w:hAnsi="Arial"/>
          <w:sz w:val="22"/>
        </w:rPr>
        <w:t xml:space="preserve">；若方案内嵌图片数量多、单张图片分辨率高，单次算力消耗可能达到 </w:t>
      </w:r>
      <w:r>
        <w:rPr>
          <w:rFonts w:eastAsia="等线" w:ascii="Arial" w:cs="Arial" w:hAnsi="Arial"/>
          <w:b w:val="true"/>
          <w:sz w:val="22"/>
        </w:rPr>
        <w:t>700-800 万token</w:t>
      </w:r>
      <w:r>
        <w:rPr>
          <w:rFonts w:eastAsia="等线" w:ascii="Arial" w:cs="Arial" w:hAnsi="Arial"/>
          <w:sz w:val="22"/>
        </w:rPr>
        <w:t>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5" w:id="35"/>
      <w:r>
        <w:rPr>
          <w:rFonts w:eastAsia="等线" w:ascii="Arial" w:cs="Arial" w:hAnsi="Arial"/>
          <w:b w:val="true"/>
          <w:sz w:val="32"/>
          <w:shd w:fill="fff67a"/>
        </w:rPr>
        <w:t>（六）用户上传文件保密性规则</w:t>
      </w:r>
      <w:bookmarkEnd w:id="35"/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文件查看权限：用户上传的水土保持方案文件，仅</w:t>
      </w:r>
      <w:r>
        <w:rPr>
          <w:rFonts w:eastAsia="等线" w:ascii="Arial" w:cs="Arial" w:hAnsi="Arial"/>
          <w:b w:val="true"/>
          <w:sz w:val="22"/>
        </w:rPr>
        <w:t>用户本人</w:t>
      </w:r>
      <w:r>
        <w:rPr>
          <w:rFonts w:eastAsia="等线" w:ascii="Arial" w:cs="Arial" w:hAnsi="Arial"/>
          <w:sz w:val="22"/>
        </w:rPr>
        <w:t>及</w:t>
      </w:r>
      <w:r>
        <w:rPr>
          <w:rFonts w:eastAsia="等线" w:ascii="Arial" w:cs="Arial" w:hAnsi="Arial"/>
          <w:b w:val="true"/>
          <w:sz w:val="22"/>
        </w:rPr>
        <w:t>平台后台管理人员</w:t>
      </w:r>
      <w:r>
        <w:rPr>
          <w:rFonts w:eastAsia="等线" w:ascii="Arial" w:cs="Arial" w:hAnsi="Arial"/>
          <w:sz w:val="22"/>
        </w:rPr>
        <w:t>具备查看权限，无其他第三方可访问文件内容。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文件下载与传阅规则：平台后台管理人员</w:t>
      </w:r>
      <w:r>
        <w:rPr>
          <w:rFonts w:eastAsia="等线" w:ascii="Arial" w:cs="Arial" w:hAnsi="Arial"/>
          <w:b w:val="true"/>
          <w:sz w:val="22"/>
        </w:rPr>
        <w:t>无特殊情况不主动下载、传阅</w:t>
      </w:r>
      <w:r>
        <w:rPr>
          <w:rFonts w:eastAsia="等线" w:ascii="Arial" w:cs="Arial" w:hAnsi="Arial"/>
          <w:sz w:val="22"/>
        </w:rPr>
        <w:t>用户上传的方案文件；仅当方案校审因解析异常导致审核失败时，后台管理人员会下载文件排查问题，排查完成后即停止对文件的操作。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48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89231">
    <w:lvl>
      <w:numFmt w:val="bullet"/>
      <w:suff w:val="tab"/>
      <w:lvlText w:val="•"/>
      <w:rPr>
        <w:color w:val="3370ff"/>
      </w:rPr>
    </w:lvl>
  </w:abstractNum>
  <w:abstractNum w:abstractNumId="89232">
    <w:lvl>
      <w:numFmt w:val="bullet"/>
      <w:suff w:val="tab"/>
      <w:lvlText w:val="•"/>
      <w:rPr>
        <w:color w:val="3370ff"/>
      </w:rPr>
    </w:lvl>
  </w:abstractNum>
  <w:abstractNum w:abstractNumId="89233">
    <w:lvl>
      <w:numFmt w:val="bullet"/>
      <w:suff w:val="tab"/>
      <w:lvlText w:val="•"/>
      <w:rPr>
        <w:color w:val="3370ff"/>
      </w:rPr>
    </w:lvl>
  </w:abstractNum>
  <w:abstractNum w:abstractNumId="89234">
    <w:lvl>
      <w:numFmt w:val="bullet"/>
      <w:suff w:val="tab"/>
      <w:lvlText w:val="•"/>
      <w:rPr>
        <w:color w:val="3370ff"/>
      </w:rPr>
    </w:lvl>
  </w:abstractNum>
  <w:abstractNum w:abstractNumId="89235">
    <w:lvl>
      <w:numFmt w:val="bullet"/>
      <w:suff w:val="tab"/>
      <w:lvlText w:val="•"/>
      <w:rPr>
        <w:color w:val="3370ff"/>
      </w:rPr>
    </w:lvl>
  </w:abstractNum>
  <w:abstractNum w:abstractNumId="89236">
    <w:lvl>
      <w:numFmt w:val="bullet"/>
      <w:suff w:val="tab"/>
      <w:lvlText w:val="•"/>
      <w:rPr>
        <w:color w:val="3370ff"/>
      </w:rPr>
    </w:lvl>
  </w:abstractNum>
  <w:abstractNum w:abstractNumId="89237">
    <w:lvl>
      <w:numFmt w:val="bullet"/>
      <w:suff w:val="tab"/>
      <w:lvlText w:val="•"/>
      <w:rPr>
        <w:color w:val="3370ff"/>
      </w:rPr>
    </w:lvl>
  </w:abstractNum>
  <w:abstractNum w:abstractNumId="89238">
    <w:lvl>
      <w:numFmt w:val="bullet"/>
      <w:suff w:val="tab"/>
      <w:lvlText w:val="•"/>
      <w:rPr>
        <w:color w:val="3370ff"/>
      </w:rPr>
    </w:lvl>
  </w:abstractNum>
  <w:abstractNum w:abstractNumId="89239">
    <w:lvl>
      <w:numFmt w:val="bullet"/>
      <w:suff w:val="tab"/>
      <w:lvlText w:val="•"/>
      <w:rPr>
        <w:color w:val="3370ff"/>
      </w:rPr>
    </w:lvl>
  </w:abstractNum>
  <w:abstractNum w:abstractNumId="89240">
    <w:lvl>
      <w:numFmt w:val="bullet"/>
      <w:suff w:val="tab"/>
      <w:lvlText w:val="•"/>
      <w:rPr>
        <w:color w:val="3370ff"/>
      </w:rPr>
    </w:lvl>
  </w:abstractNum>
  <w:abstractNum w:abstractNumId="89241">
    <w:lvl>
      <w:numFmt w:val="bullet"/>
      <w:suff w:val="tab"/>
      <w:lvlText w:val="•"/>
      <w:rPr>
        <w:color w:val="3370ff"/>
      </w:rPr>
    </w:lvl>
  </w:abstractNum>
  <w:abstractNum w:abstractNumId="89242">
    <w:lvl>
      <w:numFmt w:val="bullet"/>
      <w:suff w:val="tab"/>
      <w:lvlText w:val="•"/>
      <w:rPr>
        <w:color w:val="3370ff"/>
      </w:rPr>
    </w:lvl>
  </w:abstractNum>
  <w:abstractNum w:abstractNumId="89243">
    <w:lvl>
      <w:numFmt w:val="bullet"/>
      <w:suff w:val="tab"/>
      <w:lvlText w:val="•"/>
      <w:rPr>
        <w:color w:val="3370ff"/>
      </w:rPr>
    </w:lvl>
  </w:abstractNum>
  <w:abstractNum w:abstractNumId="89244">
    <w:lvl>
      <w:numFmt w:val="bullet"/>
      <w:suff w:val="tab"/>
      <w:lvlText w:val="•"/>
      <w:rPr>
        <w:color w:val="3370ff"/>
      </w:rPr>
    </w:lvl>
  </w:abstractNum>
  <w:abstractNum w:abstractNumId="89245">
    <w:lvl>
      <w:numFmt w:val="bullet"/>
      <w:suff w:val="tab"/>
      <w:lvlText w:val="•"/>
      <w:rPr>
        <w:color w:val="3370ff"/>
      </w:rPr>
    </w:lvl>
  </w:abstractNum>
  <w:abstractNum w:abstractNumId="89246">
    <w:lvl>
      <w:numFmt w:val="bullet"/>
      <w:suff w:val="tab"/>
      <w:lvlText w:val="•"/>
      <w:rPr>
        <w:color w:val="3370ff"/>
      </w:rPr>
    </w:lvl>
  </w:abstractNum>
  <w:abstractNum w:abstractNumId="89247">
    <w:lvl>
      <w:numFmt w:val="bullet"/>
      <w:suff w:val="tab"/>
      <w:lvlText w:val="•"/>
      <w:rPr>
        <w:color w:val="3370ff"/>
      </w:rPr>
    </w:lvl>
  </w:abstractNum>
  <w:abstractNum w:abstractNumId="89248">
    <w:lvl>
      <w:numFmt w:val="bullet"/>
      <w:suff w:val="tab"/>
      <w:lvlText w:val="•"/>
      <w:rPr>
        <w:color w:val="3370ff"/>
      </w:rPr>
    </w:lvl>
  </w:abstractNum>
  <w:abstractNum w:abstractNumId="89249">
    <w:lvl>
      <w:numFmt w:val="bullet"/>
      <w:suff w:val="tab"/>
      <w:lvlText w:val="•"/>
      <w:rPr>
        <w:color w:val="3370ff"/>
      </w:rPr>
    </w:lvl>
  </w:abstractNum>
  <w:abstractNum w:abstractNumId="89250">
    <w:lvl>
      <w:numFmt w:val="bullet"/>
      <w:suff w:val="tab"/>
      <w:lvlText w:val="•"/>
      <w:rPr>
        <w:color w:val="3370ff"/>
      </w:rPr>
    </w:lvl>
  </w:abstractNum>
  <w:abstractNum w:abstractNumId="89251">
    <w:lvl>
      <w:numFmt w:val="bullet"/>
      <w:suff w:val="tab"/>
      <w:lvlText w:val="•"/>
      <w:rPr>
        <w:color w:val="3370ff"/>
      </w:rPr>
    </w:lvl>
  </w:abstractNum>
  <w:abstractNum w:abstractNumId="89252">
    <w:lvl>
      <w:numFmt w:val="bullet"/>
      <w:suff w:val="tab"/>
      <w:lvlText w:val="•"/>
      <w:rPr>
        <w:color w:val="3370ff"/>
      </w:rPr>
    </w:lvl>
  </w:abstractNum>
  <w:abstractNum w:abstractNumId="89253">
    <w:lvl>
      <w:numFmt w:val="bullet"/>
      <w:suff w:val="tab"/>
      <w:lvlText w:val="•"/>
      <w:rPr>
        <w:color w:val="3370ff"/>
      </w:rPr>
    </w:lvl>
  </w:abstractNum>
  <w:abstractNum w:abstractNumId="89254">
    <w:lvl>
      <w:numFmt w:val="bullet"/>
      <w:suff w:val="tab"/>
      <w:lvlText w:val="•"/>
      <w:rPr>
        <w:color w:val="3370ff"/>
      </w:rPr>
    </w:lvl>
  </w:abstractNum>
  <w:abstractNum w:abstractNumId="89255">
    <w:lvl>
      <w:numFmt w:val="bullet"/>
      <w:suff w:val="tab"/>
      <w:lvlText w:val="•"/>
      <w:rPr>
        <w:color w:val="3370ff"/>
      </w:rPr>
    </w:lvl>
  </w:abstractNum>
  <w:abstractNum w:abstractNumId="89256">
    <w:lvl>
      <w:numFmt w:val="bullet"/>
      <w:suff w:val="tab"/>
      <w:lvlText w:val="•"/>
      <w:rPr>
        <w:color w:val="3370ff"/>
      </w:rPr>
    </w:lvl>
  </w:abstractNum>
  <w:abstractNum w:abstractNumId="89257">
    <w:lvl>
      <w:numFmt w:val="bullet"/>
      <w:suff w:val="tab"/>
      <w:lvlText w:val="•"/>
      <w:rPr>
        <w:color w:val="3370ff"/>
      </w:rPr>
    </w:lvl>
  </w:abstractNum>
  <w:abstractNum w:abstractNumId="89258">
    <w:lvl>
      <w:numFmt w:val="bullet"/>
      <w:suff w:val="tab"/>
      <w:lvlText w:val="•"/>
      <w:rPr>
        <w:color w:val="3370ff"/>
      </w:rPr>
    </w:lvl>
  </w:abstractNum>
  <w:abstractNum w:abstractNumId="89259">
    <w:lvl>
      <w:numFmt w:val="bullet"/>
      <w:suff w:val="tab"/>
      <w:lvlText w:val="•"/>
      <w:rPr>
        <w:color w:val="3370ff"/>
      </w:rPr>
    </w:lvl>
  </w:abstractNum>
  <w:abstractNum w:abstractNumId="89260">
    <w:lvl>
      <w:numFmt w:val="bullet"/>
      <w:suff w:val="tab"/>
      <w:lvlText w:val="•"/>
      <w:rPr>
        <w:color w:val="3370ff"/>
      </w:rPr>
    </w:lvl>
  </w:abstractNum>
  <w:abstractNum w:abstractNumId="89261">
    <w:lvl>
      <w:numFmt w:val="bullet"/>
      <w:suff w:val="tab"/>
      <w:lvlText w:val="•"/>
      <w:rPr>
        <w:color w:val="3370ff"/>
      </w:rPr>
    </w:lvl>
  </w:abstractNum>
  <w:abstractNum w:abstractNumId="89262">
    <w:lvl>
      <w:numFmt w:val="bullet"/>
      <w:suff w:val="tab"/>
      <w:lvlText w:val="•"/>
      <w:rPr>
        <w:color w:val="3370ff"/>
      </w:rPr>
    </w:lvl>
  </w:abstractNum>
  <w:abstractNum w:abstractNumId="89263">
    <w:lvl>
      <w:numFmt w:val="bullet"/>
      <w:suff w:val="tab"/>
      <w:lvlText w:val="•"/>
      <w:rPr>
        <w:color w:val="3370ff"/>
      </w:rPr>
    </w:lvl>
  </w:abstractNum>
  <w:abstractNum w:abstractNumId="89264">
    <w:lvl>
      <w:numFmt w:val="bullet"/>
      <w:suff w:val="tab"/>
      <w:lvlText w:val="•"/>
      <w:rPr>
        <w:color w:val="3370ff"/>
      </w:rPr>
    </w:lvl>
  </w:abstractNum>
  <w:abstractNum w:abstractNumId="89265">
    <w:lvl>
      <w:numFmt w:val="bullet"/>
      <w:suff w:val="tab"/>
      <w:lvlText w:val="•"/>
      <w:rPr>
        <w:color w:val="3370ff"/>
      </w:rPr>
    </w:lvl>
  </w:abstractNum>
  <w:abstractNum w:abstractNumId="89266">
    <w:lvl>
      <w:numFmt w:val="bullet"/>
      <w:suff w:val="tab"/>
      <w:lvlText w:val="•"/>
      <w:rPr>
        <w:color w:val="3370ff"/>
      </w:rPr>
    </w:lvl>
  </w:abstractNum>
  <w:abstractNum w:abstractNumId="89267">
    <w:lvl>
      <w:numFmt w:val="bullet"/>
      <w:suff w:val="tab"/>
      <w:lvlText w:val="•"/>
      <w:rPr>
        <w:color w:val="3370ff"/>
      </w:rPr>
    </w:lvl>
  </w:abstractNum>
  <w:abstractNum w:abstractNumId="89268">
    <w:lvl>
      <w:numFmt w:val="bullet"/>
      <w:suff w:val="tab"/>
      <w:lvlText w:val="•"/>
      <w:rPr>
        <w:color w:val="3370ff"/>
      </w:rPr>
    </w:lvl>
  </w:abstractNum>
  <w:abstractNum w:abstractNumId="89269">
    <w:lvl>
      <w:numFmt w:val="bullet"/>
      <w:suff w:val="tab"/>
      <w:lvlText w:val="•"/>
      <w:rPr>
        <w:color w:val="3370ff"/>
      </w:rPr>
    </w:lvl>
  </w:abstractNum>
  <w:abstractNum w:abstractNumId="89270">
    <w:lvl>
      <w:numFmt w:val="bullet"/>
      <w:suff w:val="tab"/>
      <w:lvlText w:val="•"/>
      <w:rPr>
        <w:color w:val="3370ff"/>
      </w:rPr>
    </w:lvl>
  </w:abstractNum>
  <w:abstractNum w:abstractNumId="89271">
    <w:lvl>
      <w:numFmt w:val="bullet"/>
      <w:suff w:val="tab"/>
      <w:lvlText w:val="•"/>
      <w:rPr>
        <w:color w:val="3370ff"/>
      </w:rPr>
    </w:lvl>
  </w:abstractNum>
  <w:abstractNum w:abstractNumId="89272">
    <w:lvl>
      <w:numFmt w:val="bullet"/>
      <w:suff w:val="tab"/>
      <w:lvlText w:val="•"/>
      <w:rPr>
        <w:color w:val="3370ff"/>
      </w:rPr>
    </w:lvl>
  </w:abstractNum>
  <w:abstractNum w:abstractNumId="89273">
    <w:lvl>
      <w:numFmt w:val="bullet"/>
      <w:suff w:val="tab"/>
      <w:lvlText w:val="•"/>
      <w:rPr>
        <w:color w:val="3370ff"/>
      </w:rPr>
    </w:lvl>
  </w:abstractNum>
  <w:abstractNum w:abstractNumId="89274">
    <w:lvl>
      <w:numFmt w:val="bullet"/>
      <w:suff w:val="tab"/>
      <w:lvlText w:val="•"/>
      <w:rPr>
        <w:color w:val="3370ff"/>
      </w:rPr>
    </w:lvl>
  </w:abstractNum>
  <w:abstractNum w:abstractNumId="89275">
    <w:lvl>
      <w:numFmt w:val="bullet"/>
      <w:suff w:val="tab"/>
      <w:lvlText w:val="•"/>
      <w:rPr>
        <w:color w:val="3370ff"/>
      </w:rPr>
    </w:lvl>
  </w:abstractNum>
  <w:abstractNum w:abstractNumId="89276">
    <w:lvl>
      <w:numFmt w:val="bullet"/>
      <w:suff w:val="tab"/>
      <w:lvlText w:val="•"/>
      <w:rPr>
        <w:color w:val="3370ff"/>
      </w:rPr>
    </w:lvl>
  </w:abstractNum>
  <w:abstractNum w:abstractNumId="89277">
    <w:lvl>
      <w:numFmt w:val="bullet"/>
      <w:suff w:val="tab"/>
      <w:lvlText w:val="•"/>
      <w:rPr>
        <w:color w:val="3370ff"/>
      </w:rPr>
    </w:lvl>
  </w:abstractNum>
  <w:abstractNum w:abstractNumId="89278">
    <w:lvl>
      <w:numFmt w:val="bullet"/>
      <w:suff w:val="tab"/>
      <w:lvlText w:val="•"/>
      <w:rPr>
        <w:color w:val="3370ff"/>
      </w:rPr>
    </w:lvl>
  </w:abstractNum>
  <w:abstractNum w:abstractNumId="89279">
    <w:lvl>
      <w:numFmt w:val="bullet"/>
      <w:suff w:val="tab"/>
      <w:lvlText w:val="•"/>
      <w:rPr>
        <w:color w:val="3370ff"/>
      </w:rPr>
    </w:lvl>
  </w:abstractNum>
  <w:abstractNum w:abstractNumId="89280">
    <w:lvl>
      <w:numFmt w:val="bullet"/>
      <w:suff w:val="tab"/>
      <w:lvlText w:val="•"/>
      <w:rPr>
        <w:color w:val="3370ff"/>
      </w:rPr>
    </w:lvl>
  </w:abstractNum>
  <w:abstractNum w:abstractNumId="89281">
    <w:lvl>
      <w:numFmt w:val="bullet"/>
      <w:suff w:val="tab"/>
      <w:lvlText w:val="•"/>
      <w:rPr>
        <w:color w:val="3370ff"/>
      </w:rPr>
    </w:lvl>
  </w:abstractNum>
  <w:abstractNum w:abstractNumId="89282">
    <w:lvl>
      <w:numFmt w:val="bullet"/>
      <w:suff w:val="tab"/>
      <w:lvlText w:val="•"/>
      <w:rPr>
        <w:color w:val="3370ff"/>
      </w:rPr>
    </w:lvl>
  </w:abstractNum>
  <w:abstractNum w:abstractNumId="89283">
    <w:lvl>
      <w:numFmt w:val="bullet"/>
      <w:suff w:val="tab"/>
      <w:lvlText w:val="•"/>
      <w:rPr>
        <w:color w:val="3370ff"/>
      </w:rPr>
    </w:lvl>
  </w:abstractNum>
  <w:abstractNum w:abstractNumId="89284">
    <w:lvl>
      <w:numFmt w:val="bullet"/>
      <w:suff w:val="tab"/>
      <w:lvlText w:val="•"/>
      <w:rPr>
        <w:color w:val="3370ff"/>
      </w:rPr>
    </w:lvl>
  </w:abstractNum>
  <w:abstractNum w:abstractNumId="89285">
    <w:lvl>
      <w:start w:val="1"/>
      <w:numFmt w:val="decimal"/>
      <w:suff w:val="tab"/>
      <w:lvlText w:val="%1."/>
      <w:rPr>
        <w:color w:val="3370ff"/>
      </w:rPr>
    </w:lvl>
  </w:abstractNum>
  <w:abstractNum w:abstractNumId="89286">
    <w:lvl>
      <w:start w:val="2"/>
      <w:numFmt w:val="decimal"/>
      <w:suff w:val="tab"/>
      <w:lvlText w:val="%1."/>
      <w:rPr>
        <w:color w:val="3370ff"/>
      </w:rPr>
    </w:lvl>
  </w:abstractNum>
  <w:abstractNum w:abstractNumId="89287">
    <w:lvl>
      <w:start w:val="1"/>
      <w:numFmt w:val="decimal"/>
      <w:suff w:val="tab"/>
      <w:lvlText w:val="%1."/>
      <w:rPr>
        <w:color w:val="3370ff"/>
      </w:rPr>
    </w:lvl>
  </w:abstractNum>
  <w:abstractNum w:abstractNumId="89288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89231"/>
  </w:num>
  <w:num w:numId="2">
    <w:abstractNumId w:val="89232"/>
  </w:num>
  <w:num w:numId="3">
    <w:abstractNumId w:val="89233"/>
  </w:num>
  <w:num w:numId="4">
    <w:abstractNumId w:val="89234"/>
  </w:num>
  <w:num w:numId="5">
    <w:abstractNumId w:val="89235"/>
  </w:num>
  <w:num w:numId="6">
    <w:abstractNumId w:val="89236"/>
  </w:num>
  <w:num w:numId="7">
    <w:abstractNumId w:val="89237"/>
  </w:num>
  <w:num w:numId="8">
    <w:abstractNumId w:val="89238"/>
  </w:num>
  <w:num w:numId="9">
    <w:abstractNumId w:val="89239"/>
  </w:num>
  <w:num w:numId="10">
    <w:abstractNumId w:val="89240"/>
  </w:num>
  <w:num w:numId="11">
    <w:abstractNumId w:val="89241"/>
  </w:num>
  <w:num w:numId="12">
    <w:abstractNumId w:val="89242"/>
  </w:num>
  <w:num w:numId="13">
    <w:abstractNumId w:val="89243"/>
  </w:num>
  <w:num w:numId="14">
    <w:abstractNumId w:val="89244"/>
  </w:num>
  <w:num w:numId="15">
    <w:abstractNumId w:val="89245"/>
  </w:num>
  <w:num w:numId="16">
    <w:abstractNumId w:val="89246"/>
  </w:num>
  <w:num w:numId="17">
    <w:abstractNumId w:val="89247"/>
  </w:num>
  <w:num w:numId="18">
    <w:abstractNumId w:val="89248"/>
  </w:num>
  <w:num w:numId="19">
    <w:abstractNumId w:val="89249"/>
  </w:num>
  <w:num w:numId="20">
    <w:abstractNumId w:val="89250"/>
  </w:num>
  <w:num w:numId="21">
    <w:abstractNumId w:val="89251"/>
  </w:num>
  <w:num w:numId="22">
    <w:abstractNumId w:val="89252"/>
  </w:num>
  <w:num w:numId="23">
    <w:abstractNumId w:val="89253"/>
  </w:num>
  <w:num w:numId="24">
    <w:abstractNumId w:val="89254"/>
  </w:num>
  <w:num w:numId="25">
    <w:abstractNumId w:val="89255"/>
  </w:num>
  <w:num w:numId="26">
    <w:abstractNumId w:val="89256"/>
  </w:num>
  <w:num w:numId="27">
    <w:abstractNumId w:val="89257"/>
  </w:num>
  <w:num w:numId="28">
    <w:abstractNumId w:val="89258"/>
  </w:num>
  <w:num w:numId="29">
    <w:abstractNumId w:val="89259"/>
  </w:num>
  <w:num w:numId="30">
    <w:abstractNumId w:val="89260"/>
  </w:num>
  <w:num w:numId="31">
    <w:abstractNumId w:val="89261"/>
  </w:num>
  <w:num w:numId="32">
    <w:abstractNumId w:val="89262"/>
  </w:num>
  <w:num w:numId="33">
    <w:abstractNumId w:val="89263"/>
  </w:num>
  <w:num w:numId="34">
    <w:abstractNumId w:val="89264"/>
  </w:num>
  <w:num w:numId="35">
    <w:abstractNumId w:val="89265"/>
  </w:num>
  <w:num w:numId="36">
    <w:abstractNumId w:val="89266"/>
  </w:num>
  <w:num w:numId="37">
    <w:abstractNumId w:val="89267"/>
  </w:num>
  <w:num w:numId="38">
    <w:abstractNumId w:val="89268"/>
  </w:num>
  <w:num w:numId="39">
    <w:abstractNumId w:val="89269"/>
  </w:num>
  <w:num w:numId="40">
    <w:abstractNumId w:val="89270"/>
  </w:num>
  <w:num w:numId="41">
    <w:abstractNumId w:val="89271"/>
  </w:num>
  <w:num w:numId="42">
    <w:abstractNumId w:val="89272"/>
  </w:num>
  <w:num w:numId="43">
    <w:abstractNumId w:val="89273"/>
  </w:num>
  <w:num w:numId="44">
    <w:abstractNumId w:val="89274"/>
  </w:num>
  <w:num w:numId="45">
    <w:abstractNumId w:val="89275"/>
  </w:num>
  <w:num w:numId="46">
    <w:abstractNumId w:val="89276"/>
  </w:num>
  <w:num w:numId="47">
    <w:abstractNumId w:val="89277"/>
  </w:num>
  <w:num w:numId="48">
    <w:abstractNumId w:val="89278"/>
  </w:num>
  <w:num w:numId="49">
    <w:abstractNumId w:val="89279"/>
  </w:num>
  <w:num w:numId="50">
    <w:abstractNumId w:val="89280"/>
  </w:num>
  <w:num w:numId="51">
    <w:abstractNumId w:val="89281"/>
  </w:num>
  <w:num w:numId="52">
    <w:abstractNumId w:val="89282"/>
  </w:num>
  <w:num w:numId="53">
    <w:abstractNumId w:val="89283"/>
  </w:num>
  <w:num w:numId="54">
    <w:abstractNumId w:val="89284"/>
  </w:num>
  <w:num w:numId="55">
    <w:abstractNumId w:val="89285"/>
  </w:num>
  <w:num w:numId="56">
    <w:abstractNumId w:val="89286"/>
  </w:num>
  <w:num w:numId="57">
    <w:abstractNumId w:val="89287"/>
  </w:num>
  <w:num w:numId="58">
    <w:abstractNumId w:val="89288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numbering.xml" Type="http://schemas.openxmlformats.org/officeDocument/2006/relationships/numbering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header1.xml" Type="http://schemas.openxmlformats.org/officeDocument/2006/relationships/header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2026-01-31T03:07:00Z</dcterms:created>
  <dc:creator>Apache POI</dc:creator>
</cp:coreProperties>
</file>